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B91A" w14:textId="77777777" w:rsidR="007F709C" w:rsidRDefault="007F709C"/>
    <w:tbl>
      <w:tblPr>
        <w:tblStyle w:val="TabelacomGrelha"/>
        <w:tblW w:w="10009" w:type="dxa"/>
        <w:tblLayout w:type="fixed"/>
        <w:tblLook w:val="04A0" w:firstRow="1" w:lastRow="0" w:firstColumn="1" w:lastColumn="0" w:noHBand="0" w:noVBand="1"/>
      </w:tblPr>
      <w:tblGrid>
        <w:gridCol w:w="1439"/>
        <w:gridCol w:w="1072"/>
        <w:gridCol w:w="1462"/>
        <w:gridCol w:w="1873"/>
        <w:gridCol w:w="872"/>
        <w:gridCol w:w="1629"/>
        <w:gridCol w:w="1662"/>
      </w:tblGrid>
      <w:tr w:rsidR="007F709C" w14:paraId="49D655A9" w14:textId="77777777" w:rsidTr="00DD6A0A">
        <w:trPr>
          <w:trHeight w:val="624"/>
        </w:trPr>
        <w:tc>
          <w:tcPr>
            <w:tcW w:w="1439" w:type="dxa"/>
          </w:tcPr>
          <w:p w14:paraId="41448C6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Substância ativa</w:t>
            </w:r>
          </w:p>
        </w:tc>
        <w:tc>
          <w:tcPr>
            <w:tcW w:w="1072" w:type="dxa"/>
          </w:tcPr>
          <w:p w14:paraId="7DCB4147" w14:textId="77777777" w:rsidR="007F709C" w:rsidRPr="00B35FCC" w:rsidRDefault="007F709C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Dosagem</w:t>
            </w:r>
          </w:p>
        </w:tc>
        <w:tc>
          <w:tcPr>
            <w:tcW w:w="1462" w:type="dxa"/>
          </w:tcPr>
          <w:p w14:paraId="79943647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Via de administração</w:t>
            </w:r>
          </w:p>
        </w:tc>
        <w:tc>
          <w:tcPr>
            <w:tcW w:w="1873" w:type="dxa"/>
          </w:tcPr>
          <w:p w14:paraId="45F33ACD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Grupo farmacológico</w:t>
            </w:r>
          </w:p>
        </w:tc>
        <w:tc>
          <w:tcPr>
            <w:tcW w:w="872" w:type="dxa"/>
          </w:tcPr>
          <w:p w14:paraId="1F23B1CD" w14:textId="77777777" w:rsidR="007F709C" w:rsidRPr="00B35FCC" w:rsidRDefault="007F709C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Horário</w:t>
            </w:r>
          </w:p>
        </w:tc>
        <w:tc>
          <w:tcPr>
            <w:tcW w:w="1629" w:type="dxa"/>
          </w:tcPr>
          <w:p w14:paraId="3768CB7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Indicações</w:t>
            </w:r>
          </w:p>
        </w:tc>
        <w:tc>
          <w:tcPr>
            <w:tcW w:w="1662" w:type="dxa"/>
          </w:tcPr>
          <w:p w14:paraId="4A52140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Efeitos adversos</w:t>
            </w:r>
          </w:p>
        </w:tc>
      </w:tr>
      <w:tr w:rsidR="007F709C" w14:paraId="05FABCD7" w14:textId="77777777" w:rsidTr="00DD6A0A">
        <w:trPr>
          <w:trHeight w:val="641"/>
        </w:trPr>
        <w:tc>
          <w:tcPr>
            <w:tcW w:w="1439" w:type="dxa"/>
          </w:tcPr>
          <w:p w14:paraId="3EA1126E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4CDE3A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62FDC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Omeprazol</w:t>
            </w:r>
          </w:p>
        </w:tc>
        <w:tc>
          <w:tcPr>
            <w:tcW w:w="1072" w:type="dxa"/>
          </w:tcPr>
          <w:p w14:paraId="2696EE21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3A2E5A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10D550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20 mg</w:t>
            </w:r>
          </w:p>
        </w:tc>
        <w:tc>
          <w:tcPr>
            <w:tcW w:w="1462" w:type="dxa"/>
          </w:tcPr>
          <w:p w14:paraId="46D434C1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F8B005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859CD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60DEA298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108DCA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1C5FC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Inibidores da bomba de protões</w:t>
            </w:r>
          </w:p>
        </w:tc>
        <w:tc>
          <w:tcPr>
            <w:tcW w:w="872" w:type="dxa"/>
          </w:tcPr>
          <w:p w14:paraId="7193A750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86AD96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E2157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</w:t>
            </w:r>
          </w:p>
        </w:tc>
        <w:tc>
          <w:tcPr>
            <w:tcW w:w="1629" w:type="dxa"/>
          </w:tcPr>
          <w:p w14:paraId="2611FC3F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da doença do refluxo gastroesofágico e úlcera péptica</w:t>
            </w:r>
          </w:p>
        </w:tc>
        <w:tc>
          <w:tcPr>
            <w:tcW w:w="1662" w:type="dxa"/>
          </w:tcPr>
          <w:p w14:paraId="1B06B742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B1258F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Distúrbios gastrointestinais</w:t>
            </w:r>
          </w:p>
        </w:tc>
      </w:tr>
      <w:tr w:rsidR="007F709C" w14:paraId="29C4F658" w14:textId="77777777" w:rsidTr="00DD6A0A">
        <w:trPr>
          <w:trHeight w:val="1691"/>
        </w:trPr>
        <w:tc>
          <w:tcPr>
            <w:tcW w:w="1439" w:type="dxa"/>
          </w:tcPr>
          <w:p w14:paraId="7F2B2824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AFFB7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Ácido acetilsalicílico</w:t>
            </w:r>
          </w:p>
        </w:tc>
        <w:tc>
          <w:tcPr>
            <w:tcW w:w="1072" w:type="dxa"/>
          </w:tcPr>
          <w:p w14:paraId="3B4DFC63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82FBE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100 mg</w:t>
            </w:r>
          </w:p>
        </w:tc>
        <w:tc>
          <w:tcPr>
            <w:tcW w:w="1462" w:type="dxa"/>
          </w:tcPr>
          <w:p w14:paraId="35AC5455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2BFF3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  <w:p w14:paraId="45EAE5F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85917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22A86C8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81667F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Anti inflamatórios não esteroides</w:t>
            </w:r>
          </w:p>
        </w:tc>
        <w:tc>
          <w:tcPr>
            <w:tcW w:w="872" w:type="dxa"/>
          </w:tcPr>
          <w:p w14:paraId="0345E6B0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AFAB8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</w:t>
            </w:r>
          </w:p>
        </w:tc>
        <w:tc>
          <w:tcPr>
            <w:tcW w:w="1629" w:type="dxa"/>
          </w:tcPr>
          <w:p w14:paraId="0D543FB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Anti inflamatório Antipirético Analgésico Antiplaquetar</w:t>
            </w:r>
          </w:p>
        </w:tc>
        <w:tc>
          <w:tcPr>
            <w:tcW w:w="1662" w:type="dxa"/>
          </w:tcPr>
          <w:p w14:paraId="741D7957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Dor abdominal Azia       Náusea Vómitos</w:t>
            </w:r>
          </w:p>
        </w:tc>
      </w:tr>
      <w:tr w:rsidR="007F709C" w14:paraId="413FDC09" w14:textId="77777777" w:rsidTr="00DD6A0A">
        <w:trPr>
          <w:trHeight w:val="641"/>
        </w:trPr>
        <w:tc>
          <w:tcPr>
            <w:tcW w:w="1439" w:type="dxa"/>
          </w:tcPr>
          <w:p w14:paraId="042B4BA4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017280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Sinvastatina</w:t>
            </w:r>
          </w:p>
        </w:tc>
        <w:tc>
          <w:tcPr>
            <w:tcW w:w="1072" w:type="dxa"/>
          </w:tcPr>
          <w:p w14:paraId="2E925A83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A72E67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20 mg</w:t>
            </w:r>
          </w:p>
        </w:tc>
        <w:tc>
          <w:tcPr>
            <w:tcW w:w="1462" w:type="dxa"/>
          </w:tcPr>
          <w:p w14:paraId="0BAC04F4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46CED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74792162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02974C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Estatinas</w:t>
            </w:r>
          </w:p>
          <w:p w14:paraId="0C7331A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3A4399FF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7A16E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19H</w:t>
            </w:r>
          </w:p>
        </w:tc>
        <w:tc>
          <w:tcPr>
            <w:tcW w:w="1629" w:type="dxa"/>
          </w:tcPr>
          <w:p w14:paraId="5E78D1F9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de níveis elevados de colesterol no sangue</w:t>
            </w:r>
          </w:p>
        </w:tc>
        <w:tc>
          <w:tcPr>
            <w:tcW w:w="1662" w:type="dxa"/>
          </w:tcPr>
          <w:p w14:paraId="5C1C359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Mialgia  Distúrbios gastrointestinais Cefaleias</w:t>
            </w:r>
          </w:p>
        </w:tc>
      </w:tr>
      <w:tr w:rsidR="007F709C" w14:paraId="14597CBE" w14:textId="77777777" w:rsidTr="00DD6A0A">
        <w:trPr>
          <w:trHeight w:val="641"/>
        </w:trPr>
        <w:tc>
          <w:tcPr>
            <w:tcW w:w="1439" w:type="dxa"/>
          </w:tcPr>
          <w:p w14:paraId="49E90F60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FFA20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Donepezilo</w:t>
            </w:r>
          </w:p>
        </w:tc>
        <w:tc>
          <w:tcPr>
            <w:tcW w:w="1072" w:type="dxa"/>
          </w:tcPr>
          <w:p w14:paraId="45F6C8D2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82EC9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10 mg</w:t>
            </w:r>
          </w:p>
        </w:tc>
        <w:tc>
          <w:tcPr>
            <w:tcW w:w="1462" w:type="dxa"/>
          </w:tcPr>
          <w:p w14:paraId="64BA4D11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2B6F93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4F64318B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CD84D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Inibidores da acetilcolinesterase</w:t>
            </w:r>
          </w:p>
        </w:tc>
        <w:tc>
          <w:tcPr>
            <w:tcW w:w="872" w:type="dxa"/>
          </w:tcPr>
          <w:p w14:paraId="546E737D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516983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19H</w:t>
            </w:r>
          </w:p>
        </w:tc>
        <w:tc>
          <w:tcPr>
            <w:tcW w:w="1629" w:type="dxa"/>
          </w:tcPr>
          <w:p w14:paraId="4A499E0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da doença de Alzheimer</w:t>
            </w:r>
          </w:p>
        </w:tc>
        <w:tc>
          <w:tcPr>
            <w:tcW w:w="1662" w:type="dxa"/>
          </w:tcPr>
          <w:p w14:paraId="054071C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Distúrbios gastrointestinais Fadiga     Insônia</w:t>
            </w:r>
          </w:p>
        </w:tc>
      </w:tr>
      <w:tr w:rsidR="007F709C" w14:paraId="4D79CD33" w14:textId="77777777" w:rsidTr="00DD6A0A">
        <w:trPr>
          <w:trHeight w:val="641"/>
        </w:trPr>
        <w:tc>
          <w:tcPr>
            <w:tcW w:w="1439" w:type="dxa"/>
          </w:tcPr>
          <w:p w14:paraId="48134743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A19EB2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Colecalciferol</w:t>
            </w:r>
          </w:p>
        </w:tc>
        <w:tc>
          <w:tcPr>
            <w:tcW w:w="1072" w:type="dxa"/>
          </w:tcPr>
          <w:p w14:paraId="2151E5D6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EB0E0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22400 U.I</w:t>
            </w:r>
          </w:p>
        </w:tc>
        <w:tc>
          <w:tcPr>
            <w:tcW w:w="1462" w:type="dxa"/>
          </w:tcPr>
          <w:p w14:paraId="1D86AAE4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56C013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65136B2C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0361C2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Vitaminas</w:t>
            </w:r>
          </w:p>
        </w:tc>
        <w:tc>
          <w:tcPr>
            <w:tcW w:w="872" w:type="dxa"/>
          </w:tcPr>
          <w:p w14:paraId="5DCA231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</w:t>
            </w:r>
          </w:p>
          <w:p w14:paraId="2EB144D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1º dia de cada mês</w:t>
            </w:r>
          </w:p>
        </w:tc>
        <w:tc>
          <w:tcPr>
            <w:tcW w:w="1629" w:type="dxa"/>
          </w:tcPr>
          <w:p w14:paraId="61AA758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Tratar/ prevenir doenças causadas por uma carência de vitamina D</w:t>
            </w:r>
          </w:p>
        </w:tc>
        <w:tc>
          <w:tcPr>
            <w:tcW w:w="1662" w:type="dxa"/>
          </w:tcPr>
          <w:p w14:paraId="636C515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Hipercalcemia Hipercalciúria Fraqueza muscular Insuficiência renal</w:t>
            </w:r>
          </w:p>
        </w:tc>
      </w:tr>
      <w:tr w:rsidR="007F709C" w14:paraId="104D1210" w14:textId="77777777" w:rsidTr="00DD6A0A">
        <w:trPr>
          <w:trHeight w:val="641"/>
        </w:trPr>
        <w:tc>
          <w:tcPr>
            <w:tcW w:w="1439" w:type="dxa"/>
          </w:tcPr>
          <w:p w14:paraId="54C1FFC2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7D945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Tapentadol</w:t>
            </w:r>
          </w:p>
        </w:tc>
        <w:tc>
          <w:tcPr>
            <w:tcW w:w="1072" w:type="dxa"/>
          </w:tcPr>
          <w:p w14:paraId="39B07F6F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5972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100 mg</w:t>
            </w:r>
          </w:p>
        </w:tc>
        <w:tc>
          <w:tcPr>
            <w:tcW w:w="1462" w:type="dxa"/>
          </w:tcPr>
          <w:p w14:paraId="2E544DC5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38448C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50AAA1B9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0B2194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Analgésico opioides</w:t>
            </w:r>
          </w:p>
        </w:tc>
        <w:tc>
          <w:tcPr>
            <w:tcW w:w="872" w:type="dxa"/>
          </w:tcPr>
          <w:p w14:paraId="6F140FC4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ADCCB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    19H</w:t>
            </w:r>
          </w:p>
        </w:tc>
        <w:tc>
          <w:tcPr>
            <w:tcW w:w="1629" w:type="dxa"/>
          </w:tcPr>
          <w:p w14:paraId="79933B5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da dor moderada a severa</w:t>
            </w:r>
          </w:p>
        </w:tc>
        <w:tc>
          <w:tcPr>
            <w:tcW w:w="1662" w:type="dxa"/>
          </w:tcPr>
          <w:p w14:paraId="2058F8C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Náuseas     Sonolência     Cefaleias      Fadiga</w:t>
            </w:r>
          </w:p>
        </w:tc>
      </w:tr>
      <w:tr w:rsidR="007F709C" w14:paraId="73382F76" w14:textId="77777777" w:rsidTr="00DD6A0A">
        <w:trPr>
          <w:trHeight w:val="641"/>
        </w:trPr>
        <w:tc>
          <w:tcPr>
            <w:tcW w:w="1439" w:type="dxa"/>
          </w:tcPr>
          <w:p w14:paraId="77BA9785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53D3DC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Gabapentina</w:t>
            </w:r>
          </w:p>
        </w:tc>
        <w:tc>
          <w:tcPr>
            <w:tcW w:w="1072" w:type="dxa"/>
          </w:tcPr>
          <w:p w14:paraId="46F37337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97EC1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100 mg</w:t>
            </w:r>
          </w:p>
        </w:tc>
        <w:tc>
          <w:tcPr>
            <w:tcW w:w="1462" w:type="dxa"/>
          </w:tcPr>
          <w:p w14:paraId="5348B912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F0C068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5A121997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6C9E7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Anticonvulsivantes ou antiepiléticos</w:t>
            </w:r>
          </w:p>
        </w:tc>
        <w:tc>
          <w:tcPr>
            <w:tcW w:w="872" w:type="dxa"/>
          </w:tcPr>
          <w:p w14:paraId="7907B7DB" w14:textId="77777777" w:rsidR="007F709C" w:rsidRDefault="007F709C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254618" w14:textId="77777777" w:rsidR="007F709C" w:rsidRPr="00B35FCC" w:rsidRDefault="007F709C" w:rsidP="00DD6A0A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    13H    19H</w:t>
            </w:r>
          </w:p>
        </w:tc>
        <w:tc>
          <w:tcPr>
            <w:tcW w:w="1629" w:type="dxa"/>
          </w:tcPr>
          <w:p w14:paraId="08FED22D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D1B874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da epilepsia</w:t>
            </w:r>
          </w:p>
        </w:tc>
        <w:tc>
          <w:tcPr>
            <w:tcW w:w="1662" w:type="dxa"/>
          </w:tcPr>
          <w:p w14:paraId="329E052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Sonolência    Fadiga      Ganho de peso   Edema periférico</w:t>
            </w:r>
          </w:p>
        </w:tc>
      </w:tr>
      <w:tr w:rsidR="007F709C" w14:paraId="68C2DF5E" w14:textId="77777777" w:rsidTr="00DD6A0A">
        <w:trPr>
          <w:trHeight w:val="641"/>
        </w:trPr>
        <w:tc>
          <w:tcPr>
            <w:tcW w:w="1439" w:type="dxa"/>
          </w:tcPr>
          <w:p w14:paraId="4D81A599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BAAF6F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Brometo de glicopirrónio + formoterol</w:t>
            </w:r>
          </w:p>
        </w:tc>
        <w:tc>
          <w:tcPr>
            <w:tcW w:w="1072" w:type="dxa"/>
          </w:tcPr>
          <w:p w14:paraId="71E8E86C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2972CC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2 inalações</w:t>
            </w:r>
          </w:p>
        </w:tc>
        <w:tc>
          <w:tcPr>
            <w:tcW w:w="1462" w:type="dxa"/>
          </w:tcPr>
          <w:p w14:paraId="4425B461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85D6E2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Via respiratória (inalação)</w:t>
            </w:r>
          </w:p>
        </w:tc>
        <w:tc>
          <w:tcPr>
            <w:tcW w:w="1873" w:type="dxa"/>
          </w:tcPr>
          <w:p w14:paraId="2A91A0A7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CCE69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Broncodilatadores</w:t>
            </w:r>
          </w:p>
        </w:tc>
        <w:tc>
          <w:tcPr>
            <w:tcW w:w="872" w:type="dxa"/>
          </w:tcPr>
          <w:p w14:paraId="62B6B9A5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FCCEC7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     19H</w:t>
            </w:r>
          </w:p>
        </w:tc>
        <w:tc>
          <w:tcPr>
            <w:tcW w:w="1629" w:type="dxa"/>
          </w:tcPr>
          <w:p w14:paraId="7B9567F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Alívio de sintomas em adultos com doença pulmonar obstrutiva crónica</w:t>
            </w:r>
          </w:p>
        </w:tc>
        <w:tc>
          <w:tcPr>
            <w:tcW w:w="1662" w:type="dxa"/>
          </w:tcPr>
          <w:p w14:paraId="2DC2F129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AA77CE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Xerostomia    Cefaleias Taquicardia</w:t>
            </w:r>
          </w:p>
        </w:tc>
      </w:tr>
      <w:tr w:rsidR="007F709C" w14:paraId="0A27DE3E" w14:textId="77777777" w:rsidTr="00DD6A0A">
        <w:trPr>
          <w:trHeight w:val="641"/>
        </w:trPr>
        <w:tc>
          <w:tcPr>
            <w:tcW w:w="1439" w:type="dxa"/>
          </w:tcPr>
          <w:p w14:paraId="17000892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558055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Furosemida</w:t>
            </w:r>
          </w:p>
        </w:tc>
        <w:tc>
          <w:tcPr>
            <w:tcW w:w="1072" w:type="dxa"/>
          </w:tcPr>
          <w:p w14:paraId="26293F08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63DD04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40 mg</w:t>
            </w:r>
          </w:p>
        </w:tc>
        <w:tc>
          <w:tcPr>
            <w:tcW w:w="1462" w:type="dxa"/>
          </w:tcPr>
          <w:p w14:paraId="6D22A463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09642C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3454CFB7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17041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Diurético</w:t>
            </w:r>
          </w:p>
        </w:tc>
        <w:tc>
          <w:tcPr>
            <w:tcW w:w="872" w:type="dxa"/>
          </w:tcPr>
          <w:p w14:paraId="162C401D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A44B7D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</w:t>
            </w:r>
          </w:p>
        </w:tc>
        <w:tc>
          <w:tcPr>
            <w:tcW w:w="1629" w:type="dxa"/>
          </w:tcPr>
          <w:p w14:paraId="4BF0C1A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de edemas</w:t>
            </w:r>
          </w:p>
        </w:tc>
        <w:tc>
          <w:tcPr>
            <w:tcW w:w="1662" w:type="dxa"/>
          </w:tcPr>
          <w:p w14:paraId="6E428CFE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Hipotensão    Desidratação     Poliúria</w:t>
            </w:r>
          </w:p>
        </w:tc>
      </w:tr>
      <w:tr w:rsidR="007F709C" w14:paraId="01FE5FB8" w14:textId="77777777" w:rsidTr="00DD6A0A">
        <w:trPr>
          <w:trHeight w:val="641"/>
        </w:trPr>
        <w:tc>
          <w:tcPr>
            <w:tcW w:w="1439" w:type="dxa"/>
          </w:tcPr>
          <w:p w14:paraId="3685AEA4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Clotrimazol</w:t>
            </w:r>
          </w:p>
        </w:tc>
        <w:tc>
          <w:tcPr>
            <w:tcW w:w="1072" w:type="dxa"/>
          </w:tcPr>
          <w:p w14:paraId="4189934F" w14:textId="77777777" w:rsidR="007F709C" w:rsidRPr="00B35FCC" w:rsidRDefault="007F709C" w:rsidP="00DD6A0A">
            <w:pPr>
              <w:pBdr>
                <w:bottom w:val="single" w:sz="12" w:space="1" w:color="auto"/>
              </w:pBd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0D59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</w:tcPr>
          <w:p w14:paraId="4F3DEC64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Tecido cutâneo</w:t>
            </w:r>
          </w:p>
        </w:tc>
        <w:tc>
          <w:tcPr>
            <w:tcW w:w="1873" w:type="dxa"/>
          </w:tcPr>
          <w:p w14:paraId="15A2A919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Antifúngico</w:t>
            </w:r>
          </w:p>
        </w:tc>
        <w:tc>
          <w:tcPr>
            <w:tcW w:w="872" w:type="dxa"/>
          </w:tcPr>
          <w:p w14:paraId="1C3DE5B9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9H</w:t>
            </w:r>
          </w:p>
        </w:tc>
        <w:tc>
          <w:tcPr>
            <w:tcW w:w="1629" w:type="dxa"/>
          </w:tcPr>
          <w:p w14:paraId="0DA2A22F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de infeções fúngicas</w:t>
            </w:r>
          </w:p>
        </w:tc>
        <w:tc>
          <w:tcPr>
            <w:tcW w:w="1662" w:type="dxa"/>
          </w:tcPr>
          <w:p w14:paraId="33348C7D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Prurido      Rubor</w:t>
            </w:r>
          </w:p>
        </w:tc>
      </w:tr>
      <w:tr w:rsidR="007F709C" w14:paraId="09454C5E" w14:textId="77777777" w:rsidTr="00DD6A0A">
        <w:trPr>
          <w:trHeight w:val="641"/>
        </w:trPr>
        <w:tc>
          <w:tcPr>
            <w:tcW w:w="1439" w:type="dxa"/>
          </w:tcPr>
          <w:p w14:paraId="16AAD430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9AEDB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Tapentadol</w:t>
            </w:r>
          </w:p>
        </w:tc>
        <w:tc>
          <w:tcPr>
            <w:tcW w:w="1072" w:type="dxa"/>
          </w:tcPr>
          <w:p w14:paraId="7C9E3967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0D1FE6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50 mg</w:t>
            </w:r>
          </w:p>
        </w:tc>
        <w:tc>
          <w:tcPr>
            <w:tcW w:w="1462" w:type="dxa"/>
          </w:tcPr>
          <w:p w14:paraId="5B8DA194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7CA19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  <w:tc>
          <w:tcPr>
            <w:tcW w:w="1873" w:type="dxa"/>
          </w:tcPr>
          <w:p w14:paraId="3F506DEF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962D43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Analgésico opioides</w:t>
            </w:r>
          </w:p>
        </w:tc>
        <w:tc>
          <w:tcPr>
            <w:tcW w:w="872" w:type="dxa"/>
          </w:tcPr>
          <w:p w14:paraId="1B53291A" w14:textId="77777777" w:rsidR="007F709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5C820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SOS</w:t>
            </w:r>
          </w:p>
        </w:tc>
        <w:tc>
          <w:tcPr>
            <w:tcW w:w="1629" w:type="dxa"/>
          </w:tcPr>
          <w:p w14:paraId="57F5B14B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da dor moderada a severa</w:t>
            </w:r>
          </w:p>
        </w:tc>
        <w:tc>
          <w:tcPr>
            <w:tcW w:w="1662" w:type="dxa"/>
          </w:tcPr>
          <w:p w14:paraId="079F6729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Náuseas     Sonolência     Cefaleias      Fadiga</w:t>
            </w:r>
          </w:p>
        </w:tc>
      </w:tr>
      <w:tr w:rsidR="007F709C" w14:paraId="3278D28A" w14:textId="77777777" w:rsidTr="00DD6A0A">
        <w:trPr>
          <w:trHeight w:val="641"/>
        </w:trPr>
        <w:tc>
          <w:tcPr>
            <w:tcW w:w="1439" w:type="dxa"/>
          </w:tcPr>
          <w:p w14:paraId="428F55A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Diclofenaco</w:t>
            </w:r>
          </w:p>
        </w:tc>
        <w:tc>
          <w:tcPr>
            <w:tcW w:w="1072" w:type="dxa"/>
          </w:tcPr>
          <w:p w14:paraId="0FD63859" w14:textId="77777777" w:rsidR="007F709C" w:rsidRPr="00B35FCC" w:rsidRDefault="007F709C" w:rsidP="00DD6A0A">
            <w:pPr>
              <w:pBdr>
                <w:bottom w:val="single" w:sz="12" w:space="1" w:color="auto"/>
              </w:pBd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3C5CC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C07C8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</w:tcPr>
          <w:p w14:paraId="297674B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Tecido cutâneo</w:t>
            </w:r>
          </w:p>
        </w:tc>
        <w:tc>
          <w:tcPr>
            <w:tcW w:w="1873" w:type="dxa"/>
          </w:tcPr>
          <w:p w14:paraId="4068DF0F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Anti-inflamatórios não esteroides</w:t>
            </w:r>
          </w:p>
        </w:tc>
        <w:tc>
          <w:tcPr>
            <w:tcW w:w="872" w:type="dxa"/>
          </w:tcPr>
          <w:p w14:paraId="124213F9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SOS</w:t>
            </w:r>
          </w:p>
        </w:tc>
        <w:tc>
          <w:tcPr>
            <w:tcW w:w="1629" w:type="dxa"/>
          </w:tcPr>
          <w:p w14:paraId="0C0502EA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Tratamento da dor e da inflamação</w:t>
            </w:r>
          </w:p>
        </w:tc>
        <w:tc>
          <w:tcPr>
            <w:tcW w:w="1662" w:type="dxa"/>
          </w:tcPr>
          <w:p w14:paraId="374D7B1D" w14:textId="77777777" w:rsidR="007F709C" w:rsidRPr="00B35FCC" w:rsidRDefault="007F709C" w:rsidP="00DD6A0A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CC">
              <w:rPr>
                <w:rFonts w:ascii="Arial" w:hAnsi="Arial" w:cs="Arial"/>
                <w:sz w:val="20"/>
                <w:szCs w:val="20"/>
              </w:rPr>
              <w:t>Rubor      Prurido           Erupção cutânea</w:t>
            </w:r>
          </w:p>
        </w:tc>
      </w:tr>
    </w:tbl>
    <w:p w14:paraId="206DC573" w14:textId="77777777" w:rsidR="007F709C" w:rsidRDefault="007F709C"/>
    <w:p w14:paraId="24B28E16" w14:textId="77777777" w:rsidR="007F709C" w:rsidRDefault="007F709C"/>
    <w:p w14:paraId="67792F9D" w14:textId="77777777" w:rsidR="007F709C" w:rsidRDefault="007F709C"/>
    <w:sectPr w:rsidR="007F709C" w:rsidSect="007F709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9C"/>
    <w:rsid w:val="0007166C"/>
    <w:rsid w:val="007B16F8"/>
    <w:rsid w:val="007F709C"/>
    <w:rsid w:val="008574F3"/>
    <w:rsid w:val="00E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7767"/>
  <w15:chartTrackingRefBased/>
  <w15:docId w15:val="{C1CA85F7-B57E-46BF-A1C4-40162DC1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09C"/>
  </w:style>
  <w:style w:type="paragraph" w:styleId="Ttulo1">
    <w:name w:val="heading 1"/>
    <w:basedOn w:val="Normal"/>
    <w:next w:val="Normal"/>
    <w:link w:val="Ttulo1Carter"/>
    <w:uiPriority w:val="9"/>
    <w:qFormat/>
    <w:rsid w:val="007F7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7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F7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F7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F7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F7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F7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F7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F7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F7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7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F7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F70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F709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F70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F709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F70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F70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F7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F7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F7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F7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F7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F70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709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F70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F7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F709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F709C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7F7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Jerónimo</dc:creator>
  <cp:keywords/>
  <dc:description/>
  <cp:lastModifiedBy>Miguel Jerónimo</cp:lastModifiedBy>
  <cp:revision>1</cp:revision>
  <dcterms:created xsi:type="dcterms:W3CDTF">2025-06-06T01:22:00Z</dcterms:created>
  <dcterms:modified xsi:type="dcterms:W3CDTF">2025-06-06T01:25:00Z</dcterms:modified>
</cp:coreProperties>
</file>